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sz w:val="28"/>
          <w:szCs w:val="28"/>
        </w:rPr>
        <w:t>ело № 5-</w:t>
      </w:r>
      <w:r>
        <w:rPr>
          <w:rFonts w:ascii="Times New Roman" w:eastAsia="Times New Roman" w:hAnsi="Times New Roman" w:cs="Times New Roman"/>
          <w:sz w:val="28"/>
          <w:szCs w:val="28"/>
        </w:rPr>
        <w:t>893</w:t>
      </w:r>
      <w:r>
        <w:rPr>
          <w:rFonts w:ascii="Times New Roman" w:eastAsia="Times New Roman" w:hAnsi="Times New Roman" w:cs="Times New Roman"/>
          <w:sz w:val="28"/>
          <w:szCs w:val="28"/>
        </w:rPr>
        <w:t>-2610/</w:t>
      </w:r>
      <w:r>
        <w:rPr>
          <w:rFonts w:ascii="Times New Roman" w:eastAsia="Times New Roman" w:hAnsi="Times New Roman" w:cs="Times New Roman"/>
          <w:sz w:val="28"/>
          <w:szCs w:val="28"/>
        </w:rPr>
        <w:t>2026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</w:t>
      </w:r>
    </w:p>
    <w:p>
      <w:pPr>
        <w:spacing w:before="0" w:after="0"/>
        <w:ind w:firstLine="567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ind w:firstLine="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8"/>
          <w:szCs w:val="28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22 июл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</w:t>
      </w:r>
      <w:r>
        <w:rPr>
          <w:rStyle w:val="cat-Addressgrp-0rplc-1"/>
          <w:rFonts w:ascii="Times New Roman" w:eastAsia="Times New Roman" w:hAnsi="Times New Roman" w:cs="Times New Roman"/>
          <w:sz w:val="27"/>
          <w:szCs w:val="27"/>
        </w:rPr>
        <w:t>адрес</w:t>
      </w:r>
    </w:p>
    <w:p>
      <w:pPr>
        <w:tabs>
          <w:tab w:val="left" w:pos="3615"/>
        </w:tabs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</w:t>
      </w:r>
      <w:r>
        <w:rPr>
          <w:rStyle w:val="cat-Addressgrp-1rplc-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Король Е.П., находящ</w:t>
      </w:r>
      <w:r>
        <w:rPr>
          <w:rFonts w:ascii="Times New Roman" w:eastAsia="Times New Roman" w:hAnsi="Times New Roman" w:cs="Times New Roman"/>
          <w:sz w:val="27"/>
          <w:szCs w:val="27"/>
        </w:rPr>
        <w:t>егося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адресу: </w:t>
      </w:r>
      <w:r>
        <w:rPr>
          <w:rStyle w:val="cat-Addressgrp-2rplc-4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205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Стояновой Карины Руста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овны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34rplc-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об административном правонарушении, предусмотренном ч. 1 ст. 12.26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22.05.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>53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Style w:val="cat-Addressgrp-0rplc-16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Style w:val="cat-Addressgrp-6rplc-17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Стоянов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являясь водителем транспортного средства </w:t>
      </w:r>
      <w:r>
        <w:rPr>
          <w:rStyle w:val="cat-UserDefinedgrp-35rplc-1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не выполнил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законного требования уполномоченного должностного лица о прохождении медицинского освидетельствования на состояние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>если такие действия (бездействия) не содержат уголовно наказуемого деяния, чем нарушил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п. 2.3.2 ПДД РФ. </w:t>
      </w:r>
      <w:r>
        <w:rPr>
          <w:rFonts w:ascii="Times New Roman" w:eastAsia="Times New Roman" w:hAnsi="Times New Roman" w:cs="Times New Roman"/>
          <w:sz w:val="27"/>
          <w:szCs w:val="27"/>
        </w:rPr>
        <w:t>Данное обстоятельство послужило основанием для составления в отношении н</w:t>
      </w:r>
      <w:r>
        <w:rPr>
          <w:rFonts w:ascii="Times New Roman" w:eastAsia="Times New Roman" w:hAnsi="Times New Roman" w:cs="Times New Roman"/>
          <w:sz w:val="27"/>
          <w:szCs w:val="27"/>
        </w:rPr>
        <w:t>её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протокола </w:t>
      </w:r>
      <w:r>
        <w:rPr>
          <w:rStyle w:val="cat-UserDefinedgrp-36rplc-2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административном правонарушении по ч. 1 ст. 12.26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ая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постановления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, ходатайств об отложении судебного заседания не заявлял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>. При таких обстоятельствах и на основании ст. 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Согласно п. 2.3.2 Правил дорожного движения РФ, водитель обязан по требованию должностных лиц, уполномоченных на осуществление федерального государственного надзора в области безопасности дорожного движения, проходить освидетельствование на состояние алкогольного опьянения и медицинское освидетельствование на состояние опьянения.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со ст. 26.2 КоАП РФ доказательствами по делу являются любые фактические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данные, на основании которых устанавливают наличие или отсутствие события административного правонарушения, виновность лица, привлекаемого к ответственности, а также иные обстоятельства, имеющие значение для правильного разрешения дела. Эти данные устанавливаются протоколом об административном правонарушении,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иными протоколами, предусмотренными КоАП РФ, объяснениями лица, в </w:t>
      </w:r>
      <w:r>
        <w:rPr>
          <w:rFonts w:ascii="Times New Roman" w:eastAsia="Times New Roman" w:hAnsi="Times New Roman" w:cs="Times New Roman"/>
          <w:sz w:val="27"/>
          <w:szCs w:val="27"/>
        </w:rPr>
        <w:t>отношении которого ведется производство по делу об административном правонарушении, иными документами.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ст. 26.11 КоАП РФ судья, осуществляющий производство по делу об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административном правонарушении оценивает доказательства по своему внутреннему убеждению, основанному на всестороннем, полном и объективном исследовании всех обстоятельств дела в их совокупности. Никакие доказательства не могут иметь заранее установленную силу.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Как разъяснено в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абз</w:t>
        </w:r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. 2 п. 9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постановления Пленума Верховного Суда Российской Федерации от 24.10.2006 года № 18 "О некоторых вопросах, возникающих у судов при применении Особенной части Кодекса Российской Федерации об административных правонарушениях", основанием привлечения к административной ответственности по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является зафиксированный в протоколе об административном правонарушении отказ лица от прохождения медицинского освидетельствования на состояние опьянения, заявленный как непосредственно должностному лицу Государственной инспекции безопасности дорожного движения, так и медицинскому работнику. При рассмотрении дел об административных правонарушениях, предусмотренных нормами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необходимо проверять наличие законных оснований для направления водителя на медицинское освидетельствование на состояние опьянения, а также соблюдение установленного порядка направления на медицинское освидетельствование.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</w:t>
      </w:r>
      <w:hyperlink r:id="rId6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1.1 ст. 27.12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 лицо, которое управляет транспортным средством соответствующего вида и в отношении которого имеются достаточные основания полагать, что это лицо находится в состоянии опьянения, либо лицо, в отношении которого вынесено определение о возбуждении дела об административном правонарушении, предусмотренном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12.24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подлежит освидетельствованию на состояние алкогольного опьянения в соответствии с </w:t>
      </w:r>
      <w:hyperlink r:id="rId7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6 этой статьи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.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освидетельствования, а равно при наличии достаточных оснований полагать, что лицо находится в состоянии опьянения,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Постановлением Правительства Российской Федерации от 21.10.2022 года № 1882 утверждены </w:t>
      </w:r>
      <w:hyperlink r:id="rId8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Правила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освидетельствования на состояние алкогольного опьянения и оформление его результатов, направления на медицинское освидетельствование на состояние опьянения (далее - Правила).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достаточными основаниями полагать, что водитель транспортного средства находится в состоянии опьянения, является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Пунктом 8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предусмотрено, что направлению на медицинское освидетельствование на состояние опьянения водитель транспортного средства подлежит: при отказе от прохождения освидетельствования на состояние алкогольного опьянения; при несогласии с результатами освидетельствования на состояние алкогольного опьянения; при наличии достаточных оснований полагать, что водитель транспортного средства находится в состоянии опьянения, и отрицательном результате освидетельствования на состояние алкогольного опьянения.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соответствии с </w:t>
      </w:r>
      <w:hyperlink r:id="rId10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ч. 3 ст. 27.12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а также </w:t>
      </w:r>
      <w:hyperlink r:id="rId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п. 9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Правил о направлении на медицинское освидетельствование на состояние опьянения составляется соответствующий протокол, копия которого вручается лицу, в отношении которого применена данная мера обеспечения производства по делу об административном правонарушении. Форма указанного протокола утверждается Министерством внутренних дел Российской Федерации по согласованию с Министерством здравоохранения Российской Федерации.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п. 11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постановления Пленума Верховного Суда РФ от 25.06.2019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>года №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- о</w:t>
      </w:r>
      <w:r>
        <w:rPr>
          <w:rFonts w:ascii="Times New Roman" w:eastAsia="Times New Roman" w:hAnsi="Times New Roman" w:cs="Times New Roman"/>
          <w:sz w:val="27"/>
          <w:szCs w:val="27"/>
        </w:rPr>
        <w:t>тказ от выполнения законных требований уполномоченного должностного лица либо медицинского работника о прохождении такого освидетельствования образует объективную сторону состава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11" w:anchor="dst4319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12.26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КоАП РФ, и может выражаться как в форме действий, так и в форме бездействия, свидетельствующих о том, что водитель не намерен проходить указанное освидетельствование, в частности предпринимает усилия, препятствующие совершению данного процессуального действия или исключающие возможность его совершения, например отказывается от прохождения того или иного вида исследования в рамках проводимого медицинского освидетельствования.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Факт такого отказа должен быть зафиксирован в протоколе о направлении на медицинское освидетельствование на состояние опьянения или акте медицинского освидетельствования на состояние опьянения, а также в протоколе об административном правонарушении.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считает, что вина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Стояновой К.Р.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рассматриваемого правонарушения установлена и подтверждается совокупностью исследованных в судебном заседании следующих доказательств: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- протоколом </w:t>
      </w:r>
      <w:r>
        <w:rPr>
          <w:rStyle w:val="cat-UserDefinedgrp-36rplc-3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</w:t>
      </w:r>
      <w:r>
        <w:rPr>
          <w:rStyle w:val="cat-UserDefinedgrp-39rplc-3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исходя из которого </w:t>
      </w:r>
      <w:r>
        <w:rPr>
          <w:rFonts w:ascii="Times New Roman" w:eastAsia="Times New Roman" w:hAnsi="Times New Roman" w:cs="Times New Roman"/>
          <w:sz w:val="27"/>
          <w:szCs w:val="27"/>
        </w:rPr>
        <w:t>Стоянов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 в 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в </w:t>
      </w:r>
      <w:r>
        <w:rPr>
          <w:rStyle w:val="cat-Addressgrp-0rplc-3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 </w:t>
      </w:r>
      <w:r>
        <w:rPr>
          <w:rStyle w:val="cat-Addressgrp-6rplc-39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был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отстранен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управления транспортным средством </w:t>
      </w:r>
      <w:r>
        <w:rPr>
          <w:rStyle w:val="cat-UserDefinedgrp-37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в связи с наличием достаточных оснований полагать, что он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управляет им в состоянии опьянения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признаки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поведение, не соответствующее обстановке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86 НП № </w:t>
      </w:r>
      <w:r>
        <w:rPr>
          <w:rFonts w:ascii="Times New Roman" w:eastAsia="Times New Roman" w:hAnsi="Times New Roman" w:cs="Times New Roman"/>
          <w:sz w:val="27"/>
          <w:szCs w:val="27"/>
        </w:rPr>
        <w:t>048675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22.05.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года, согласно которому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Стоянова К.Р.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связи с отказом от прохождения освидетельствования на состояние алкогольного опьянения в </w:t>
      </w:r>
      <w:r>
        <w:rPr>
          <w:rFonts w:ascii="Times New Roman" w:eastAsia="Times New Roman" w:hAnsi="Times New Roman" w:cs="Times New Roman"/>
          <w:sz w:val="27"/>
          <w:szCs w:val="27"/>
        </w:rPr>
        <w:t>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час. </w:t>
      </w:r>
      <w:r>
        <w:rPr>
          <w:rFonts w:ascii="Times New Roman" w:eastAsia="Times New Roman" w:hAnsi="Times New Roman" w:cs="Times New Roman"/>
          <w:sz w:val="27"/>
          <w:szCs w:val="27"/>
        </w:rPr>
        <w:t>53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мин.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 основании ст. 27.12 КоАП РФ </w:t>
      </w:r>
      <w:r>
        <w:rPr>
          <w:rFonts w:ascii="Times New Roman" w:eastAsia="Times New Roman" w:hAnsi="Times New Roman" w:cs="Times New Roman"/>
          <w:sz w:val="27"/>
          <w:szCs w:val="27"/>
        </w:rPr>
        <w:t>был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направлен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для прохождения </w:t>
      </w:r>
      <w:r>
        <w:rPr>
          <w:rFonts w:ascii="Times New Roman" w:eastAsia="Times New Roman" w:hAnsi="Times New Roman" w:cs="Times New Roman"/>
          <w:sz w:val="27"/>
          <w:szCs w:val="27"/>
        </w:rPr>
        <w:t>медицинско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освидетельствовани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состояние опьянения, пройти данное освидетельствование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Стоянова К.Р.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отказал</w:t>
      </w:r>
      <w:r>
        <w:rPr>
          <w:rFonts w:ascii="Times New Roman" w:eastAsia="Times New Roman" w:hAnsi="Times New Roman" w:cs="Times New Roman"/>
          <w:sz w:val="27"/>
          <w:szCs w:val="27"/>
        </w:rPr>
        <w:t>ась</w:t>
      </w:r>
      <w:r>
        <w:rPr>
          <w:rFonts w:ascii="Times New Roman" w:eastAsia="Times New Roman" w:hAnsi="Times New Roman" w:cs="Times New Roman"/>
          <w:sz w:val="27"/>
          <w:szCs w:val="27"/>
        </w:rPr>
        <w:t>, о чем собственноручно указал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протоколе «отказываюсь»;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протоколом </w:t>
      </w:r>
      <w:r>
        <w:rPr>
          <w:rStyle w:val="cat-UserDefinedgrp-38rplc-48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задержания транспортного средства от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рапортом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инспектора </w:t>
      </w:r>
      <w:r>
        <w:rPr>
          <w:rFonts w:ascii="Times New Roman" w:eastAsia="Times New Roman" w:hAnsi="Times New Roman" w:cs="Times New Roman"/>
          <w:sz w:val="27"/>
          <w:szCs w:val="27"/>
        </w:rPr>
        <w:t>ДПС ОБ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ДПС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ГАИ УМВД России по </w:t>
      </w:r>
      <w:r>
        <w:rPr>
          <w:rStyle w:val="cat-Addressgrp-0rplc-50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>.2026 года;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карточкой операции с ВУ;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карточкой учета транспортного средства;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реестром правонарушений;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справкой инспектора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Госавтоинспекции УМВД России по </w:t>
      </w:r>
      <w:r>
        <w:rPr>
          <w:rStyle w:val="cat-Addressgrp-0rplc-52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</w:t>
      </w:r>
      <w:r>
        <w:rPr>
          <w:rFonts w:ascii="Times New Roman" w:eastAsia="Times New Roman" w:hAnsi="Times New Roman" w:cs="Times New Roman"/>
          <w:sz w:val="27"/>
          <w:szCs w:val="27"/>
        </w:rPr>
        <w:t>22.05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.2026 года;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диском с видеозаписью,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которую суд обозрел в судебном заседании в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20</w:t>
      </w:r>
      <w:r>
        <w:rPr>
          <w:rFonts w:ascii="Times New Roman" w:eastAsia="Times New Roman" w:hAnsi="Times New Roman" w:cs="Times New Roman"/>
          <w:sz w:val="27"/>
          <w:szCs w:val="27"/>
        </w:rPr>
        <w:t>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 стационарном компьютере, в котором отражены факт остановки транспортного средства под управлением </w:t>
      </w:r>
      <w:r>
        <w:rPr>
          <w:rFonts w:ascii="Times New Roman" w:eastAsia="Times New Roman" w:hAnsi="Times New Roman" w:cs="Times New Roman"/>
          <w:sz w:val="27"/>
          <w:szCs w:val="27"/>
        </w:rPr>
        <w:t>Стоянов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и действия по </w:t>
      </w:r>
      <w:r>
        <w:rPr>
          <w:rFonts w:ascii="Times New Roman" w:eastAsia="Times New Roman" w:hAnsi="Times New Roman" w:cs="Times New Roman"/>
          <w:sz w:val="27"/>
          <w:szCs w:val="27"/>
        </w:rPr>
        <w:t>составлению процессуальных документов в отношении не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без участия понятых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</w:t>
      </w:r>
      <w:r>
        <w:rPr>
          <w:rFonts w:ascii="Times New Roman" w:eastAsia="Times New Roman" w:hAnsi="Times New Roman" w:cs="Times New Roman"/>
          <w:sz w:val="27"/>
          <w:szCs w:val="27"/>
        </w:rPr>
        <w:t>ценивая в совокупности представленные доказательства, мировой судья признает их достоверными, поскольку они нашли свое объективное подтверждение в ходе судебного разбирательства, получены с соблюдением требований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Необходимости в истребовании и изучении дополнительных доказательств мировой судья не усматривает, поскольку имеющиеся в деле материалы в полном объеме отражают описанные в протоколе события.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Порядок применения мер обеспечения производства по делу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Стоянов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соблюден.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Стоянова К.Р. </w:t>
      </w:r>
      <w:r>
        <w:rPr>
          <w:rFonts w:ascii="Times New Roman" w:eastAsia="Times New Roman" w:hAnsi="Times New Roman" w:cs="Times New Roman"/>
          <w:sz w:val="27"/>
          <w:szCs w:val="27"/>
        </w:rPr>
        <w:t>отстранен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 управления транспортным средством должностным лицом, которому предоставлено право государственного надзора и контроля за безопасностью движения. Об отстранении от управления транспортным средством составлен протокол, в котором указаны дата, время, место, основания отстранения от управления, должность, фамилия и инициалы лица, составившего протокол, сведения о транспортном средстве и о лице, в отношении которого применена данная мера обеспечения производства по делу об административном правонарушении.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Законность при применении мер административного принуждения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Стояновой К.Р.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не нарушена, права лица, в отношении которого ведется производство по делу об административном правонарушении, предусмотренные ст. 51 Конституции РФ и ст. 25.1 КоАП РФ, </w:t>
      </w:r>
      <w:r>
        <w:rPr>
          <w:rFonts w:ascii="Times New Roman" w:eastAsia="Times New Roman" w:hAnsi="Times New Roman" w:cs="Times New Roman"/>
          <w:sz w:val="27"/>
          <w:szCs w:val="27"/>
        </w:rPr>
        <w:t>разъяснены, о чем свидетельствует в том числе просмотренная в судебном заседании видеозапись.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Достоверность имеющейся в материалах дела видеозаписи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применения мер обеспечения производства по делу 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Стояновой К.Р. </w:t>
      </w:r>
      <w:r>
        <w:rPr>
          <w:rFonts w:ascii="Times New Roman" w:eastAsia="Times New Roman" w:hAnsi="Times New Roman" w:cs="Times New Roman"/>
          <w:sz w:val="27"/>
          <w:szCs w:val="27"/>
        </w:rPr>
        <w:t>сомнений не вызывает, поскольку источник ее происхождения очевиден.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Сведения о ведении видеозаписи, как средства фиксации совершенных процессуальных действий, отражены в процессуальных документах. Содержание видеозаписи в рассматриваемом случае обеспечивает визуальную идентификацию объектов и участников проводимых процессуальных действий, аудио фиксацию речи, отражает последовательность применения мер обеспечения производства по делу об административном правонарушении, соответствует иным, собранным по делу доказательствам (в том числе процессуальным документам), а потому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основания для признания ее недопустимым доказательством отсутствуют.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Таким образом, совокупность доказательств позволяет мировому судье сделать вывод о виновности привлекаемо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12.26 КоАП РФ.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 квалифицирует как невыполнение водителем транспортного средства законного </w:t>
      </w:r>
      <w:hyperlink r:id="rId12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требования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уполномоченного </w:t>
      </w:r>
      <w:hyperlink r:id="rId13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должностного лица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о прохождении </w:t>
      </w:r>
      <w:hyperlink r:id="rId1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медицинского освидетельствования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на состояние опьянения, если такие действия не содержат </w:t>
      </w:r>
      <w:hyperlink r:id="rId15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уголовно наказуемого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деяния. </w:t>
      </w:r>
      <w:r>
        <w:rPr>
          <w:rFonts w:ascii="Times New Roman" w:eastAsia="Times New Roman" w:hAnsi="Times New Roman" w:cs="Times New Roman"/>
          <w:sz w:val="27"/>
          <w:szCs w:val="27"/>
        </w:rPr>
        <w:t>Оснований для е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освобождения от административной ответственности, </w:t>
      </w:r>
      <w:r>
        <w:rPr>
          <w:rFonts w:ascii="Times New Roman" w:eastAsia="Times New Roman" w:hAnsi="Times New Roman" w:cs="Times New Roman"/>
          <w:sz w:val="27"/>
          <w:szCs w:val="27"/>
        </w:rPr>
        <w:t>прекращения производства по делу не имеется, равно как и отсутствуют обстоятельства, исключающие производство по делу об административном правонарушении 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возможность рассмотрения дела.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Обстоятельств, смягчающи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административную ответственность, </w:t>
      </w:r>
      <w:r>
        <w:rPr>
          <w:rFonts w:ascii="Times New Roman" w:eastAsia="Times New Roman" w:hAnsi="Times New Roman" w:cs="Times New Roman"/>
          <w:sz w:val="27"/>
          <w:szCs w:val="27"/>
        </w:rPr>
        <w:t>по делу не установлено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Обстоятельством, отягчающим административную ответственность, является повторное совершение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 </w:t>
      </w:r>
      <w:r>
        <w:rPr>
          <w:rFonts w:ascii="Times New Roman" w:eastAsia="Times New Roman" w:hAnsi="Times New Roman" w:cs="Times New Roman"/>
          <w:sz w:val="27"/>
          <w:szCs w:val="27"/>
        </w:rPr>
        <w:t>однородного административного правонарушения.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назначении наказания, принимая во внимание характер и степень общественной опасности совершенного административного правонарушения, обстоятельства дела, личность виновно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в целях предупреждения совершения новых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правонарушений, мировой судья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Стояновой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 </w:t>
      </w:r>
      <w:r>
        <w:rPr>
          <w:rFonts w:ascii="Times New Roman" w:eastAsia="Times New Roman" w:hAnsi="Times New Roman" w:cs="Times New Roman"/>
          <w:sz w:val="27"/>
          <w:szCs w:val="27"/>
        </w:rPr>
        <w:t>наказание в пределах, предусмотренных санкцией ч. 1 ст. 12.26 КоАП РФ, в виде административного штрафа с лишением права управления транспортными средствами на минимальный срок.</w:t>
      </w:r>
    </w:p>
    <w:p>
      <w:pPr>
        <w:spacing w:before="0" w:after="0"/>
        <w:ind w:firstLine="68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29.9 - 29.11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Стоянову Карину Руста</w:t>
      </w: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овну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совершении административного правонарушения, предусмотренного ч. 1 ст. 12.26 КоАП РФ и подвергнуть административному наказанию в виде административного штрафа в размере </w:t>
      </w:r>
      <w:r>
        <w:rPr>
          <w:rStyle w:val="cat-Sumgrp-21rplc-6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 лишением права управления транспортными средствами на срок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1 (один) год 6 (шесть) месяцев.</w:t>
      </w:r>
    </w:p>
    <w:p>
      <w:pPr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Штраф подлежит уплате по реквизитам: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получатель УФК по Ханты-Мансийскому автономному округу-Югре (УМВД России по ХМАО-Югре),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КПП </w:t>
      </w:r>
      <w:r>
        <w:rPr>
          <w:rStyle w:val="cat-PhoneNumbergrp-29rplc-64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ИНН </w:t>
      </w:r>
      <w:r>
        <w:rPr>
          <w:rStyle w:val="cat-PhoneNumbergrp-30rplc-65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ОКТМО </w:t>
      </w:r>
      <w:r>
        <w:rPr>
          <w:rStyle w:val="cat-PhoneNumbergrp-31rplc-66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счет получателя (номер казначейского счета): 03100643000000018700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ОКЦ № 8 УГУ Банка России//УФК по Ханты-Мансийскому автономному округу-Югре </w:t>
      </w:r>
      <w:r>
        <w:rPr>
          <w:rStyle w:val="cat-Addressgrp-7rplc-68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БИК </w:t>
      </w:r>
      <w:r>
        <w:rPr>
          <w:rStyle w:val="cat-PhoneNumbergrp-32rplc-69"/>
          <w:rFonts w:ascii="Times New Roman" w:eastAsia="Times New Roman" w:hAnsi="Times New Roman" w:cs="Times New Roman"/>
          <w:sz w:val="27"/>
          <w:szCs w:val="27"/>
        </w:rPr>
        <w:t>телефон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кор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счет № </w:t>
      </w:r>
      <w:r>
        <w:rPr>
          <w:rFonts w:ascii="Times New Roman" w:eastAsia="Times New Roman" w:hAnsi="Times New Roman" w:cs="Times New Roman"/>
          <w:sz w:val="27"/>
          <w:szCs w:val="27"/>
        </w:rPr>
        <w:t>40102810245370000007, КБК 18811601123010001140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УИН </w:t>
      </w:r>
      <w:r>
        <w:rPr>
          <w:rFonts w:ascii="Times New Roman" w:eastAsia="Times New Roman" w:hAnsi="Times New Roman" w:cs="Times New Roman"/>
          <w:sz w:val="27"/>
          <w:szCs w:val="27"/>
        </w:rPr>
        <w:t>18810486260320010927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 соответствии со ст. 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Копию квитанции об оплате административного штрафа необходимо представить по адресу: </w:t>
      </w:r>
      <w:r>
        <w:rPr>
          <w:rStyle w:val="cat-Addressgrp-2rplc-70"/>
          <w:rFonts w:ascii="Times New Roman" w:eastAsia="Times New Roman" w:hAnsi="Times New Roman" w:cs="Times New Roman"/>
          <w:sz w:val="27"/>
          <w:szCs w:val="27"/>
        </w:rPr>
        <w:t>адрес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>. 105 либо направить на электронный адрес: Surgut10@mirsud86.ru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</w:t>
      </w:r>
      <w:r>
        <w:rPr>
          <w:rFonts w:ascii="Times New Roman" w:eastAsia="Times New Roman" w:hAnsi="Times New Roman" w:cs="Times New Roman"/>
          <w:sz w:val="27"/>
          <w:szCs w:val="27"/>
        </w:rPr>
        <w:t>Стоянов</w:t>
      </w:r>
      <w:r>
        <w:rPr>
          <w:rFonts w:ascii="Times New Roman" w:eastAsia="Times New Roman" w:hAnsi="Times New Roman" w:cs="Times New Roman"/>
          <w:sz w:val="27"/>
          <w:szCs w:val="27"/>
        </w:rPr>
        <w:t>ой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К.Р.,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что в течение трёх рабочих дней со дня вступления в законную силу постановления о назначении административного наказания он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обязан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сдать водительское удостоверение в </w:t>
      </w:r>
      <w:r>
        <w:rPr>
          <w:rFonts w:ascii="Times New Roman" w:eastAsia="Times New Roman" w:hAnsi="Times New Roman" w:cs="Times New Roman"/>
          <w:sz w:val="27"/>
          <w:szCs w:val="27"/>
        </w:rPr>
        <w:t>ГАИ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УМВД России по месту своего жительства. В случае уклонения от сдачи документов, срок лишения специального права прерывается. Течение срока начинается со дня сдачи либо изъятия документов на право управления транспортным средством.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Сургутский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городской суд путем подачи жалобы </w:t>
      </w:r>
      <w:r>
        <w:rPr>
          <w:rFonts w:ascii="Times New Roman" w:eastAsia="Times New Roman" w:hAnsi="Times New Roman" w:cs="Times New Roman"/>
          <w:sz w:val="27"/>
          <w:szCs w:val="27"/>
        </w:rPr>
        <w:t>через мирового судью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в течение десяти </w:t>
      </w:r>
      <w:r>
        <w:rPr>
          <w:rFonts w:ascii="Times New Roman" w:eastAsia="Times New Roman" w:hAnsi="Times New Roman" w:cs="Times New Roman"/>
          <w:sz w:val="27"/>
          <w:szCs w:val="27"/>
        </w:rPr>
        <w:t>дней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со дня получения копии постановления.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sectPr>
      <w:footerReference w:type="default" r:id="rId1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8038982"/>
      <w:placeholder>
        <w:docPart w:val="DefaultPlaceholder_22675703"/>
      </w:placeholder>
      <w:showingPlcHdr/>
      <w:richText/>
    </w:sdtPr>
    <w:sdtContent>
      <w:p>
        <w:pPr>
          <w:spacing w:before="0" w:after="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Fonts w:ascii="Times New Roman" w:eastAsia="Times New Roman" w:hAnsi="Times New Roman" w:cs="Times New Roman"/>
          </w:rPr>
          <w:t>1</w:t>
        </w:r>
        <w:r>
          <w:rPr>
            <w:rFonts w:ascii="Times New Roman" w:eastAsia="Times New Roman" w:hAnsi="Times New Roman" w:cs="Times New Roman"/>
          </w:rPr>
          <w:fldChar w:fldCharType="end"/>
        </w:r>
      </w:p>
    </w:sdtContent>
  </w:sdt>
  <w:p>
    <w:pPr>
      <w:spacing w:before="0" w:after="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Addressgrp-0rplc-1">
    <w:name w:val="cat-Address grp-0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4">
    <w:name w:val="cat-Address grp-2 rplc-4"/>
    <w:basedOn w:val="DefaultParagraphFont"/>
  </w:style>
  <w:style w:type="character" w:customStyle="1" w:styleId="cat-UserDefinedgrp-34rplc-6">
    <w:name w:val="cat-UserDefined grp-34 rplc-6"/>
    <w:basedOn w:val="DefaultParagraphFont"/>
  </w:style>
  <w:style w:type="character" w:customStyle="1" w:styleId="cat-Addressgrp-0rplc-16">
    <w:name w:val="cat-Address grp-0 rplc-16"/>
    <w:basedOn w:val="DefaultParagraphFont"/>
  </w:style>
  <w:style w:type="character" w:customStyle="1" w:styleId="cat-Addressgrp-6rplc-17">
    <w:name w:val="cat-Address grp-6 rplc-17"/>
    <w:basedOn w:val="DefaultParagraphFont"/>
  </w:style>
  <w:style w:type="character" w:customStyle="1" w:styleId="cat-UserDefinedgrp-35rplc-19">
    <w:name w:val="cat-UserDefined grp-35 rplc-19"/>
    <w:basedOn w:val="DefaultParagraphFont"/>
  </w:style>
  <w:style w:type="character" w:customStyle="1" w:styleId="cat-UserDefinedgrp-36rplc-23">
    <w:name w:val="cat-UserDefined grp-36 rplc-23"/>
    <w:basedOn w:val="DefaultParagraphFont"/>
  </w:style>
  <w:style w:type="character" w:customStyle="1" w:styleId="cat-UserDefinedgrp-36rplc-30">
    <w:name w:val="cat-UserDefined grp-36 rplc-30"/>
    <w:basedOn w:val="DefaultParagraphFont"/>
  </w:style>
  <w:style w:type="character" w:customStyle="1" w:styleId="cat-UserDefinedgrp-39rplc-33">
    <w:name w:val="cat-UserDefined grp-39 rplc-33"/>
    <w:basedOn w:val="DefaultParagraphFont"/>
  </w:style>
  <w:style w:type="character" w:customStyle="1" w:styleId="cat-Addressgrp-0rplc-38">
    <w:name w:val="cat-Address grp-0 rplc-38"/>
    <w:basedOn w:val="DefaultParagraphFont"/>
  </w:style>
  <w:style w:type="character" w:customStyle="1" w:styleId="cat-Addressgrp-6rplc-39">
    <w:name w:val="cat-Address grp-6 rplc-39"/>
    <w:basedOn w:val="DefaultParagraphFont"/>
  </w:style>
  <w:style w:type="character" w:customStyle="1" w:styleId="cat-UserDefinedgrp-37rplc-40">
    <w:name w:val="cat-UserDefined grp-37 rplc-40"/>
    <w:basedOn w:val="DefaultParagraphFont"/>
  </w:style>
  <w:style w:type="character" w:customStyle="1" w:styleId="cat-UserDefinedgrp-38rplc-48">
    <w:name w:val="cat-UserDefined grp-38 rplc-48"/>
    <w:basedOn w:val="DefaultParagraphFont"/>
  </w:style>
  <w:style w:type="character" w:customStyle="1" w:styleId="cat-Addressgrp-0rplc-50">
    <w:name w:val="cat-Address grp-0 rplc-50"/>
    <w:basedOn w:val="DefaultParagraphFont"/>
  </w:style>
  <w:style w:type="character" w:customStyle="1" w:styleId="cat-Addressgrp-0rplc-52">
    <w:name w:val="cat-Address grp-0 rplc-52"/>
    <w:basedOn w:val="DefaultParagraphFont"/>
  </w:style>
  <w:style w:type="character" w:customStyle="1" w:styleId="cat-Sumgrp-21rplc-63">
    <w:name w:val="cat-Sum grp-21 rplc-63"/>
    <w:basedOn w:val="DefaultParagraphFont"/>
  </w:style>
  <w:style w:type="character" w:customStyle="1" w:styleId="cat-PhoneNumbergrp-29rplc-64">
    <w:name w:val="cat-PhoneNumber grp-29 rplc-64"/>
    <w:basedOn w:val="DefaultParagraphFont"/>
  </w:style>
  <w:style w:type="character" w:customStyle="1" w:styleId="cat-PhoneNumbergrp-30rplc-65">
    <w:name w:val="cat-PhoneNumber grp-30 rplc-65"/>
    <w:basedOn w:val="DefaultParagraphFont"/>
  </w:style>
  <w:style w:type="character" w:customStyle="1" w:styleId="cat-PhoneNumbergrp-31rplc-66">
    <w:name w:val="cat-PhoneNumber grp-31 rplc-66"/>
    <w:basedOn w:val="DefaultParagraphFont"/>
  </w:style>
  <w:style w:type="character" w:customStyle="1" w:styleId="cat-Addressgrp-7rplc-68">
    <w:name w:val="cat-Address grp-7 rplc-68"/>
    <w:basedOn w:val="DefaultParagraphFont"/>
  </w:style>
  <w:style w:type="character" w:customStyle="1" w:styleId="cat-PhoneNumbergrp-32rplc-69">
    <w:name w:val="cat-PhoneNumber grp-32 rplc-69"/>
    <w:basedOn w:val="DefaultParagraphFont"/>
  </w:style>
  <w:style w:type="character" w:customStyle="1" w:styleId="cat-Addressgrp-2rplc-70">
    <w:name w:val="cat-Address grp-2 rplc-70"/>
    <w:basedOn w:val="DefaultParagraphFont"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A0332A91F91D3BD311C2027A11529B300B71665C8DFB9B9041163DC8B67F901BBE3A62C841C0B161YAa8L" TargetMode="External" /><Relationship Id="rId11" Type="http://schemas.openxmlformats.org/officeDocument/2006/relationships/hyperlink" Target="http://www.consultant.ru/document/cons_doc_LAW_359000/27b951a9ca374e6081930cfff85eabd581a523b1/" TargetMode="External" /><Relationship Id="rId12" Type="http://schemas.openxmlformats.org/officeDocument/2006/relationships/hyperlink" Target="garantF1://1205770.100232" TargetMode="External" /><Relationship Id="rId13" Type="http://schemas.openxmlformats.org/officeDocument/2006/relationships/hyperlink" Target="garantF1://12082530.130114" TargetMode="External" /><Relationship Id="rId14" Type="http://schemas.openxmlformats.org/officeDocument/2006/relationships/hyperlink" Target="garantF1://12061120.1000" TargetMode="External" /><Relationship Id="rId15" Type="http://schemas.openxmlformats.org/officeDocument/2006/relationships/hyperlink" Target="garantF1://10008000.264" TargetMode="External" /><Relationship Id="rId16" Type="http://schemas.openxmlformats.org/officeDocument/2006/relationships/footer" Target="footer1.xml" /><Relationship Id="rId17" Type="http://schemas.openxmlformats.org/officeDocument/2006/relationships/glossaryDocument" Target="glossary/document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0332A91F91D3BD311C2027A11529B300B7663548BFD9B9041163DC8B67F901BBE3A62C841C2B46DYAa6L" TargetMode="External" /><Relationship Id="rId5" Type="http://schemas.openxmlformats.org/officeDocument/2006/relationships/hyperlink" Target="consultantplus://offline/ref=A0332A91F91D3BD311C2027A11529B300B71665C8DFB9B9041163DC8B67F901BBE3A62CD42C3YBaDL" TargetMode="External" /><Relationship Id="rId6" Type="http://schemas.openxmlformats.org/officeDocument/2006/relationships/hyperlink" Target="consultantplus://offline/ref=A0332A91F91D3BD311C2027A11529B300B71665C8DFB9B9041163DC8B67F901BBE3A62CD42C4YBa2L" TargetMode="External" /><Relationship Id="rId7" Type="http://schemas.openxmlformats.org/officeDocument/2006/relationships/hyperlink" Target="consultantplus://offline/ref=A0332A91F91D3BD311C2027A11529B300B71665C8DFB9B9041163DC8B67F901BBE3A62CC41YCa2L" TargetMode="External" /><Relationship Id="rId8" Type="http://schemas.openxmlformats.org/officeDocument/2006/relationships/hyperlink" Target="consultantplus://offline/ref=A0332A91F91D3BD311C2027A11529B300B77635C84F19B9041163DC8B67F901BBE3A62C841C2B464YAa5L" TargetMode="External" /><Relationship Id="rId9" Type="http://schemas.openxmlformats.org/officeDocument/2006/relationships/hyperlink" Target="consultantplus://offline/ref=A0332A91F91D3BD311C2027A11529B300B77635C84F19B9041163DC8B67F901BBE3A62C841C2B464YAa2L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5AF11-9908-411F-AD9D-5B2AC27F3B1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